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从土货到国货：近代消费行为政治化与民族主义思潮</w:t>
      </w:r>
    </w:p>
    <w:p>
      <w:r>
        <w:rPr>
          <w:rFonts w:ascii="宋体" w:hAnsi="宋体" w:eastAsia="宋体"/>
          <w:sz w:val="24"/>
        </w:rPr>
        <w:t>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从土货到国货：近代消费行为政治化与民族主义思潮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本书出售、求购地址：https://www.jiaokey.com/book/detail/13575474.html</w:t>
      </w:r>
    </w:p>
    <w:p>
      <w:r>
        <w:t>更多相关图书推荐：https://www.jiaokey.com</w:t>
      </w:r>
    </w:p>
    <w:p>
      <w:r>
        <w:t>王敏著 其他作品：https://www.jiaokey.com/tag/王敏著.html</w:t>
      </w:r>
    </w:p>
    <w:p>
      <w:r>
        <w:t>知识产权出版社 出版图书：https://www.jiaokey.com/tag/知识产权出版社.html</w:t>
      </w:r>
    </w:p>
    <w:p>
      <w:r>
        <w:t>关键词搜索：https://www.jiaokey.com/tag/从土货到国货：近代消费行为政治化与民族主义思潮.html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