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促进民间参与公共建设法逐条释义</w:t>
      </w:r>
    </w:p>
    <w:p>
      <w:r>
        <w:rPr>
          <w:rFonts w:ascii="宋体" w:hAnsi="宋体" w:eastAsia="宋体"/>
          <w:sz w:val="24"/>
        </w:rPr>
        <w:t>洪国钦著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促进民间参与公共建设法逐条释义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本书出售、求购地址：https://www.jiaokey.com/book/detail/13573626.html</w:t>
      </w:r>
    </w:p>
    <w:p>
      <w:r>
        <w:t>更多相关图书推荐：https://www.jiaokey.com</w:t>
      </w:r>
    </w:p>
    <w:p>
      <w:r>
        <w:t>洪国钦著 其他作品：https://www.jiaokey.com/tag/洪国钦著.html</w:t>
      </w:r>
    </w:p>
    <w:p>
      <w:r>
        <w:t>元照出版公司 出版图书：https://www.jiaokey.com/tag/元照出版公司.html</w:t>
      </w:r>
    </w:p>
    <w:p>
      <w:r>
        <w:t>关键词搜索：https://www.jiaokey.com/tag/促进民间参与公共建设法逐条释义.html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