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创造学教程</w:t>
      </w:r>
    </w:p>
    <w:p>
      <w:r>
        <w:rPr>
          <w:rFonts w:ascii="宋体" w:hAnsi="宋体" w:eastAsia="宋体"/>
          <w:sz w:val="24"/>
        </w:rPr>
        <w:t>陈海宁，沈永健主编；欧元雕，阮田保，张民侠副等主编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陈海宁，沈永健主编；欧元雕，阮田保，张民侠副等主编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本书出售、求购地址：https://www.jiaokey.com/book/detail/13573623.html</w:t>
      </w:r>
    </w:p>
    <w:p>
      <w:r>
        <w:t>更多相关图书推荐：https://www.jiaokey.com</w:t>
      </w:r>
    </w:p>
    <w:p>
      <w:r>
        <w:t>陈海宁，沈永健主编；欧元雕，阮田保，张民侠副等主编 其他作品：https://www.jiaokey.com/tag/陈海宁，沈永健主编；欧元雕，阮田保，张民侠副等主编.html</w:t>
      </w:r>
    </w:p>
    <w:p>
      <w:r>
        <w:t>天马图书公司 出版图书：https://www.jiaokey.com/tag/天马图书公司.html</w:t>
      </w:r>
    </w:p>
    <w:p>
      <w:r>
        <w:t>关键词搜索：https://www.jiaokey.com/tag/创造学教程.html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