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违反规定插手干预工程建设领域行为处分规定</w:t>
      </w:r>
    </w:p>
    <w:p>
      <w:r>
        <w:rPr>
          <w:rFonts w:ascii="宋体" w:hAnsi="宋体" w:eastAsia="宋体"/>
          <w:sz w:val="24"/>
        </w:rPr>
        <w:t>《违反规定插手干预工程建设领域行为处分规定》编写组编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违反规定插手干预工程建设领域行为处分规定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《违反规定插手干预工程建设领域行为处分规定》编写组编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本书出售、求购地址：https://www.jiaokey.com/book/detail/13573389.html</w:t>
      </w:r>
    </w:p>
    <w:p>
      <w:r>
        <w:t>更多相关图书推荐：https://www.jiaokey.com</w:t>
      </w:r>
    </w:p>
    <w:p>
      <w:r>
        <w:t>《违反规定插手干预工程建设领域行为处分规定》编写组编 其他作品：https://www.jiaokey.com/tag/《违反规定插手干预工程建设领域行为处分规定》编写组编.html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关键词搜索：https://www.jiaokey.com/tag/违反规定插手干预工程建设领域行为处分规定.html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