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欧盟城市适应气候变化的机遇和挑战</w:t>
      </w:r>
    </w:p>
    <w:p>
      <w:r>
        <w:rPr>
          <w:rFonts w:ascii="宋体" w:hAnsi="宋体" w:eastAsia="宋体"/>
          <w:sz w:val="24"/>
        </w:rPr>
        <w:t>（丹）欧盟环境署著；张明顺，冯利利，黎学琴等译；马文林校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欧盟城市适应气候变化的机遇和挑战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（丹）欧盟环境署著；张明顺，冯利利，黎学琴等译；马文林校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本书出售、求购地址：https://www.jiaokey.com/book/detail/13572104.html</w:t>
      </w:r>
    </w:p>
    <w:p>
      <w:r>
        <w:t>更多相关图书推荐：https://www.jiaokey.com</w:t>
      </w:r>
    </w:p>
    <w:p>
      <w:r>
        <w:t>（丹）欧盟环境署著；张明顺，冯利利，黎学琴等译；马文林校 其他作品：https://www.jiaokey.com/tag/（丹）欧盟环境署著；张明顺，冯利利，黎学琴等译；马文林校.html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关键词搜索：https://www.jiaokey.com/tag/欧盟城市适应气候变化的机遇和挑战.html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