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无机化学习题解析</w:t>
      </w:r>
    </w:p>
    <w:p>
      <w:r>
        <w:rPr>
          <w:rFonts w:ascii="宋体" w:hAnsi="宋体" w:eastAsia="宋体"/>
          <w:sz w:val="24"/>
        </w:rPr>
        <w:t>史俊孝，马别厚，杨辉祥，胡满成，王利亚，傅玉琴，张富捐编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史俊孝，马别厚，杨辉祥，胡满成，王利亚，傅玉琴，张富捐编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本书出售、求购地址：https://www.jiaokey.com/book/detail/13570786.html</w:t>
      </w:r>
    </w:p>
    <w:p>
      <w:r>
        <w:t>更多相关图书推荐：https://www.jiaokey.com</w:t>
      </w:r>
    </w:p>
    <w:p>
      <w:r>
        <w:t>史俊孝，马别厚，杨辉祥，胡满成，王利亚，傅玉琴，张富捐编 其他作品：https://www.jiaokey.com/tag/史俊孝，马别厚，杨辉祥，胡满成，王利亚，傅玉琴，张富捐编.html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关键词搜索：https://www.jiaokey.com/tag/无机化学习题解析.html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