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矿务档  山西、河南、甘肃、江苏、浙江</w:t>
      </w:r>
    </w:p>
    <w:p>
      <w:r>
        <w:rPr>
          <w:rFonts w:ascii="宋体" w:hAnsi="宋体" w:eastAsia="宋体"/>
          <w:sz w:val="24"/>
        </w:rPr>
        <w:t>中国近代史资料选编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矿务档  山西、河南、甘肃、江苏、浙江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中国近代史资料选编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本书出售、求购地址：https://www.jiaokey.com/book/detail/13566806.html</w:t>
      </w:r>
    </w:p>
    <w:p>
      <w:r>
        <w:t>更多相关图书推荐：https://www.jiaokey.com</w:t>
      </w:r>
    </w:p>
    <w:p>
      <w:r>
        <w:t>中国近代史资料选编 其他作品：https://www.jiaokey.com/tag/中国近代史资料选编.html</w:t>
      </w:r>
    </w:p>
    <w:p>
      <w:r>
        <w:t>中央研究近代史研究所 出版图书：https://www.jiaokey.com/tag/中央研究近代史研究所.html</w:t>
      </w:r>
    </w:p>
    <w:p>
      <w:r>
        <w:t>关键词搜索：https://www.jiaokey.com/tag/矿务档  山西、河南、甘肃、江苏、浙江.html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