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台湾美术的思辩与论证：10种现象的构成</w:t>
      </w:r>
    </w:p>
    <w:p>
      <w:r>
        <w:rPr>
          <w:rFonts w:ascii="宋体" w:hAnsi="宋体" w:eastAsia="宋体"/>
          <w:sz w:val="24"/>
        </w:rPr>
        <w:t>江妙玲总编辑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台湾美术的思辩与论证：10种现象的构成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江妙玲总编辑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印象艺术中心画廊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本书出售、求购地址：https://www.jiaokey.com/book/detail/13563023.html</w:t>
      </w:r>
    </w:p>
    <w:p>
      <w:r>
        <w:t>更多相关图书推荐：https://www.jiaokey.com</w:t>
      </w:r>
    </w:p>
    <w:p>
      <w:r>
        <w:t>江妙玲总编辑 其他作品：https://www.jiaokey.com/tag/江妙玲总编辑.html</w:t>
      </w:r>
    </w:p>
    <w:p>
      <w:r>
        <w:t>印象艺术中心画廊 出版图书：https://www.jiaokey.com/tag/印象艺术中心画廊.html</w:t>
      </w:r>
    </w:p>
    <w:p>
      <w:r>
        <w:t>关键词搜索：https://www.jiaokey.com/tag/台湾美术的思辩与论证：10种现象的构成.html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