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海上保险法要论</w:t>
      </w:r>
    </w:p>
    <w:p>
      <w:r>
        <w:rPr>
          <w:rFonts w:ascii="宋体" w:hAnsi="宋体" w:eastAsia="宋体"/>
          <w:sz w:val="24"/>
        </w:rPr>
        <w:t>魏文翰著；周式民校阅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魏文翰著；周式民校阅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上海市保险业同业公会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本书出售、求购地址：https://www.jiaokey.com/book/detail/13561946.html</w:t>
      </w:r>
    </w:p>
    <w:p>
      <w:r>
        <w:t>更多相关图书推荐：https://www.jiaokey.com</w:t>
      </w:r>
    </w:p>
    <w:p>
      <w:r>
        <w:t>魏文翰著；周式民校阅 其他作品：https://www.jiaokey.com/tag/魏文翰著；周式民校阅.html</w:t>
      </w:r>
    </w:p>
    <w:p>
      <w:r>
        <w:t>上海市保险业同业公会 出版图书：https://www.jiaokey.com/tag/上海市保险业同业公会.html</w:t>
      </w:r>
    </w:p>
    <w:p>
      <w:r>
        <w:t>关键词搜索：https://www.jiaokey.com/tag/海上保险法要论.html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