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发酵工程技术</w:t>
      </w:r>
    </w:p>
    <w:p>
      <w:r>
        <w:rPr>
          <w:rFonts w:ascii="宋体" w:hAnsi="宋体" w:eastAsia="宋体"/>
          <w:sz w:val="24"/>
        </w:rPr>
        <w:t>魏银萍，吴旭乾，刘颖主编；孙美玲，陈君，方绪凤，朱京波副主编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魏银萍，吴旭乾，刘颖主编；孙美玲，陈君，方绪凤，朱京波副主编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本书出售、求购地址：https://www.jiaokey.com/book/detail/13561524.html</w:t>
      </w:r>
    </w:p>
    <w:p>
      <w:r>
        <w:t>更多相关图书推荐：https://www.jiaokey.com</w:t>
      </w:r>
    </w:p>
    <w:p>
      <w:r>
        <w:t>魏银萍，吴旭乾，刘颖主编；孙美玲，陈君，方绪凤，朱京波副主编 其他作品：https://www.jiaokey.com/tag/魏银萍，吴旭乾，刘颖主编；孙美玲，陈君，方绪凤，朱京波副主编.html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关键词搜索：https://www.jiaokey.com/tag/发酵工程技术.html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