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轻型运动航空器适航管理政策指南  咨询通告</w:t>
      </w:r>
    </w:p>
    <w:p>
      <w:r>
        <w:rPr>
          <w:rFonts w:ascii="宋体" w:hAnsi="宋体" w:eastAsia="宋体"/>
          <w:sz w:val="24"/>
        </w:rPr>
        <w:t>中国民用航空总局航空器适航定司编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轻型运动航空器适航管理政策指南  咨询通告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中国民用航空总局航空器适航定司编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本书出售、求购地址：https://www.jiaokey.com/book/detail/13559727.html</w:t>
      </w:r>
    </w:p>
    <w:p>
      <w:r>
        <w:t>更多相关图书推荐：https://www.jiaokey.com</w:t>
      </w:r>
    </w:p>
    <w:p>
      <w:r>
        <w:t>中国民用航空总局航空器适航定司编 其他作品：https://www.jiaokey.com/tag/中国民用航空总局航空器适航定司编.html</w:t>
      </w:r>
    </w:p>
    <w:p>
      <w:r>
        <w:t>关键词搜索：https://www.jiaokey.com/tag/轻型运动航空器适航管理政策指南  咨询通告.html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