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航空器型号与适航合格审定噪声规定  咨询通告</w:t>
      </w:r>
    </w:p>
    <w:p>
      <w:r>
        <w:rPr>
          <w:rFonts w:ascii="宋体" w:hAnsi="宋体" w:eastAsia="宋体"/>
          <w:sz w:val="24"/>
        </w:rPr>
        <w:t>中国民用航空局航空器适航审定司编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航空器型号与适航合格审定噪声规定  咨询通告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中国民用航空局航空器适航审定司编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本书出售、求购地址：https://www.jiaokey.com/book/detail/13559722.html</w:t>
      </w:r>
    </w:p>
    <w:p>
      <w:r>
        <w:t>更多相关图书推荐：https://www.jiaokey.com</w:t>
      </w:r>
    </w:p>
    <w:p>
      <w:r>
        <w:t>中国民用航空局航空器适航审定司编 其他作品：https://www.jiaokey.com/tag/中国民用航空局航空器适航审定司编.html</w:t>
      </w:r>
    </w:p>
    <w:p>
      <w:r>
        <w:t>关键词搜索：https://www.jiaokey.com/tag/航空器型号与适航合格审定噪声规定  咨询通告.html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