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飞机结构耐久性及损伤容限设计手册  第三册飞机结构的损伤容限设计  编写说明</w:t>
      </w:r>
    </w:p>
    <w:p>
      <w:r>
        <w:rPr>
          <w:rFonts w:ascii="宋体" w:hAnsi="宋体" w:eastAsia="宋体"/>
          <w:sz w:val="24"/>
        </w:rPr>
        <w:t>航空航天工业部科学技术研究院JNS手册编制办公室编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飞机结构耐久性及损伤容限设计手册  第三册飞机结构的损伤容限设计  编写说明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航空航天工业部科学技术研究院JNS手册编制办公室编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本书出售、求购地址：https://www.jiaokey.com/book/detail/13559632.html</w:t>
      </w:r>
    </w:p>
    <w:p>
      <w:r>
        <w:t>更多相关图书推荐：https://www.jiaokey.com</w:t>
      </w:r>
    </w:p>
    <w:p>
      <w:r>
        <w:t>航空航天工业部科学技术研究院JNS手册编制办公室编 其他作品：https://www.jiaokey.com/tag/航空航天工业部科学技术研究院JNS手册编制办公室编.html</w:t>
      </w:r>
    </w:p>
    <w:p>
      <w:r>
        <w:t>关键词搜索：https://www.jiaokey.com/tag/飞机结构耐久性及损伤容限设计手册  第三册飞机结构的损伤容限设计  编写说明.html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