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军用飞机结构疲劳设计细节疲劳额定值方法指南=military aircraft structural fatigue design detail fatigue rating methodologiacl guide</w:t>
      </w:r>
    </w:p>
    <w:p>
      <w:r>
        <w:rPr>
          <w:rFonts w:ascii="宋体" w:hAnsi="宋体" w:eastAsia="宋体"/>
          <w:sz w:val="24"/>
        </w:rPr>
        <w:t>刘文珽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军用飞机结构疲劳设计细节疲劳额定值方法指南=military aircraft structural fatigue design detail fatigue rating methodologiacl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本书出售、求购地址：https://www.jiaokey.com/book/detail/13559463.html</w:t>
      </w:r>
    </w:p>
    <w:p>
      <w:r>
        <w:t>更多相关图书推荐：https://www.jiaokey.com</w:t>
      </w:r>
    </w:p>
    <w:p>
      <w:r>
        <w:t>刘文珽 其他作品：https://www.jiaokey.com/tag/刘文珽.html</w:t>
      </w:r>
    </w:p>
    <w:p>
      <w:r>
        <w:t>关键词搜索：https://www.jiaokey.com/tag/军用飞机结构疲劳设计细节疲劳额定值方法指南=military aircraft structural fatigue design detail fatigue rating methodologiacl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