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Effects基础与实例教程</w:t>
      </w:r>
    </w:p>
    <w:p>
      <w:r>
        <w:rPr>
          <w:rFonts w:ascii="宋体" w:hAnsi="宋体" w:eastAsia="宋体"/>
          <w:sz w:val="24"/>
        </w:rPr>
        <w:t>赵殊主编；庄新春，张琴诗副主编；官强，刘丹，那英红等参编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赵殊主编；庄新春，张琴诗副主编；官强，刘丹，那英红等参编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本书出售、求购地址：https://www.jiaokey.com/book/detail/13557786.html</w:t>
      </w:r>
    </w:p>
    <w:p>
      <w:r>
        <w:t>更多相关图书推荐：https://www.jiaokey.com</w:t>
      </w:r>
    </w:p>
    <w:p>
      <w:r>
        <w:t>赵殊主编；庄新春，张琴诗副主编；官强，刘丹，那英红等参编 其他作品：https://www.jiaokey.com/tag/赵殊主编；庄新春，张琴诗副主编；官强，刘丹，那英红等参编.html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关键词搜索：https://www.jiaokey.com/tag/After Effects基础与实例教程.html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