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叶剑英哲学思想</w:t>
      </w:r>
    </w:p>
    <w:p>
      <w:r>
        <w:rPr>
          <w:rFonts w:ascii="宋体" w:hAnsi="宋体" w:eastAsia="宋体"/>
          <w:sz w:val="24"/>
        </w:rPr>
        <w:t>杨建成，郭明主编；黄子云，张步忠副主编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杨建成，郭明主编；黄子云，张步忠副主编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广东叶剑英研究会；广东叶剑英基金会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本书出售、求购地址：https://www.jiaokey.com/book/detail/13556388.html</w:t>
      </w:r>
    </w:p>
    <w:p>
      <w:r>
        <w:t>更多相关图书推荐：https://www.jiaokey.com</w:t>
      </w:r>
    </w:p>
    <w:p>
      <w:r>
        <w:t>杨建成，郭明主编；黄子云，张步忠副主编 其他作品：https://www.jiaokey.com/tag/杨建成，郭明主编；黄子云，张步忠副主编.html</w:t>
      </w:r>
    </w:p>
    <w:p>
      <w:r>
        <w:t>广东叶剑英研究会；广东叶剑英基金会 出版图书：https://www.jiaokey.com/tag/广东叶剑英研究会；广东叶剑英基金会.html</w:t>
      </w:r>
    </w:p>
    <w:p>
      <w:r>
        <w:t>关键词搜索：https://www.jiaokey.com/tag/叶剑英哲学思想.html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