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通用</w:t>
      </w:r>
    </w:p>
    <w:p>
      <w:r>
        <w:rPr>
          <w:rFonts w:ascii="宋体" w:hAnsi="宋体" w:eastAsia="宋体"/>
          <w:sz w:val="24"/>
        </w:rPr>
        <w:t>马彦，杨欧主编；王大山，张玉鑫，侯敏参编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马彦，杨欧主编；王大山，张玉鑫，侯敏参编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本书出售、求购地址：https://www.jiaokey.com/book/detail/13556180.html</w:t>
      </w:r>
    </w:p>
    <w:p>
      <w:r>
        <w:t>更多相关图书推荐：https://www.jiaokey.com</w:t>
      </w:r>
    </w:p>
    <w:p>
      <w:r>
        <w:t>马彦，杨欧主编；王大山，张玉鑫，侯敏参编 其他作品：https://www.jiaokey.com/tag/马彦，杨欧主编；王大山，张玉鑫，侯敏参编.html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  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