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舰载机进场着舰规范评估=REVIEW of the Carrier approach criteria</w:t>
      </w:r>
    </w:p>
    <w:p>
      <w:r>
        <w:rPr>
          <w:rFonts w:ascii="宋体" w:hAnsi="宋体" w:eastAsia="宋体"/>
          <w:sz w:val="24"/>
        </w:rPr>
        <w:t>杨一栋译著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舰载机进场着舰规范评估=REVIEW of the Carrier approach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本书出售、求购地址：https://www.jiaokey.com/book/detail/13555296.html</w:t>
      </w:r>
    </w:p>
    <w:p>
      <w:r>
        <w:t>更多相关图书推荐：https://www.jiaokey.com</w:t>
      </w:r>
    </w:p>
    <w:p>
      <w:r>
        <w:t>杨一栋译著 其他作品：https://www.jiaokey.com/tag/杨一栋译著.html</w:t>
      </w:r>
    </w:p>
    <w:p>
      <w:r>
        <w:t>关键词搜索：https://www.jiaokey.com/tag/舰载机进场着舰规范评估=REVIEW of the Carrier approach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