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房屋构造与识图</w:t>
      </w:r>
    </w:p>
    <w:p>
      <w:r>
        <w:rPr>
          <w:rFonts w:ascii="宋体" w:hAnsi="宋体" w:eastAsia="宋体"/>
          <w:sz w:val="24"/>
        </w:rPr>
        <w:t>王立群，许文芬主编；金从，钟少瑜副主编；彭希乔，张琦，耿孟琴参编；杨燕敏主审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房屋构造与识图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王立群，许文芬主编；金从，钟少瑜副主编；彭希乔，张琦，耿孟琴参编；杨燕敏主审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本书出售、求购地址：https://www.jiaokey.com/book/detail/13553512.html</w:t>
      </w:r>
    </w:p>
    <w:p>
      <w:r>
        <w:t>更多相关图书推荐：https://www.jiaokey.com</w:t>
      </w:r>
    </w:p>
    <w:p>
      <w:r>
        <w:t>王立群，许文芬主编；金从，钟少瑜副主编；彭希乔，张琦，耿孟琴参编；杨燕敏主审 其他作品：https://www.jiaokey.com/tag/王立群，许文芬主编；金从，钟少瑜副主编；彭希乔，张琦，耿孟琴参编；杨燕敏主审.html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关键词搜索：https://www.jiaokey.com/tag/房屋构造与识图.html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