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《统一惯例400号条款研究》  援引国际商会411号解说</w:t>
      </w:r>
    </w:p>
    <w:p>
      <w:r>
        <w:rPr>
          <w:rFonts w:ascii="宋体" w:hAnsi="宋体" w:eastAsia="宋体"/>
          <w:sz w:val="24"/>
        </w:rPr>
        <w:t>何廉永，马更生编译；方积中审定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《统一惯例400号条款研究》  援引国际商会411号解说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何廉永，马更生编译；方积中审定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《对外经贸实务》编辑部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本书出售、求购地址：https://www.jiaokey.com/book/detail/13552666.html</w:t>
      </w:r>
    </w:p>
    <w:p>
      <w:r>
        <w:t>更多相关图书推荐：https://www.jiaokey.com</w:t>
      </w:r>
    </w:p>
    <w:p>
      <w:r>
        <w:t>何廉永，马更生编译；方积中审定 其他作品：https://www.jiaokey.com/tag/何廉永，马更生编译；方积中审定.html</w:t>
      </w:r>
    </w:p>
    <w:p>
      <w:r>
        <w:t>《对外经贸实务》编辑部 出版图书：https://www.jiaokey.com/tag/《对外经贸实务》编辑部.html</w:t>
      </w:r>
    </w:p>
    <w:p>
      <w:r>
        <w:t>关键词搜索：https://www.jiaokey.com/tag/《统一惯例400号条款研究》  援引国际商会411号解说.html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