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立体构成设计</w:t>
      </w:r>
    </w:p>
    <w:p>
      <w:r>
        <w:rPr>
          <w:rFonts w:ascii="宋体" w:hAnsi="宋体" w:eastAsia="宋体"/>
          <w:sz w:val="24"/>
        </w:rPr>
        <w:t>王安霞，王永国，黄毅主编；段雅芹，卞昱婷，丑岩桦副主编；许洪超参编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王安霞，王永国，黄毅主编；段雅芹，卞昱婷，丑岩桦副主编；许洪超参编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本书出售、求购地址：https://www.jiaokey.com/book/detail/13551051.html</w:t>
      </w:r>
    </w:p>
    <w:p>
      <w:r>
        <w:t>更多相关图书推荐：https://www.jiaokey.com</w:t>
      </w:r>
    </w:p>
    <w:p>
      <w:r>
        <w:t>王安霞，王永国，黄毅主编；段雅芹，卞昱婷，丑岩桦副主编；许洪超参编 其他作品：https://www.jiaokey.com/tag/王安霞，王永国，黄毅主编；段雅芹，卞昱婷，丑岩桦副主编；许洪超参编.html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关键词搜索：https://www.jiaokey.com/tag/立体构成设计.html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