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职业技术教育改革探索</w:t>
      </w:r>
    </w:p>
    <w:p>
      <w:r>
        <w:rPr>
          <w:rFonts w:ascii="宋体" w:hAnsi="宋体" w:eastAsia="宋体"/>
          <w:sz w:val="24"/>
        </w:rPr>
        <w:t>雷柏青，吴广才编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职业技术教育改革探索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雷柏青，吴广才编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机械工业部劳动工资司培训处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本书出售、求购地址：https://www.jiaokey.com/book/detail/13550607.html</w:t>
      </w:r>
    </w:p>
    <w:p>
      <w:r>
        <w:t>更多相关图书推荐：https://www.jiaokey.com</w:t>
      </w:r>
    </w:p>
    <w:p>
      <w:r>
        <w:t>雷柏青，吴广才编 其他作品：https://www.jiaokey.com/tag/雷柏青，吴广才编.html</w:t>
      </w:r>
    </w:p>
    <w:p>
      <w:r>
        <w:t>机械工业部劳动工资司培训处 出版图书：https://www.jiaokey.com/tag/机械工业部劳动工资司培训处.html</w:t>
      </w:r>
    </w:p>
    <w:p>
      <w:r>
        <w:t>关键词搜索：https://www.jiaokey.com/tag/职业技术教育改革探索.html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