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三维动画设计与制作</w:t>
      </w:r>
    </w:p>
    <w:p>
      <w:r>
        <w:rPr>
          <w:rFonts w:ascii="宋体" w:hAnsi="宋体" w:eastAsia="宋体"/>
          <w:sz w:val="24"/>
        </w:rPr>
        <w:t>崔建伟主编；刘荣国，田博，刘永来副主编；白永新，王菊，李刚等参编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崔建伟主编；刘荣国，田博，刘永来副主编；白永新，王菊，李刚等参编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本书出售、求购地址：https://www.jiaokey.com/book/detail/13549177.html</w:t>
      </w:r>
    </w:p>
    <w:p>
      <w:r>
        <w:t>更多相关图书推荐：https://www.jiaokey.com</w:t>
      </w:r>
    </w:p>
    <w:p>
      <w:r>
        <w:t>崔建伟主编；刘荣国，田博，刘永来副主编；白永新，王菊，李刚等参编 其他作品：https://www.jiaokey.com/tag/崔建伟主编；刘荣国，田博，刘永来副主编；白永新，王菊，李刚等参编.html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关键词搜索：https://www.jiaokey.com/tag/三维动画设计与制作.html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