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工程建设标准强制性条文  房屋建筑部分  辅导教材</w:t>
      </w:r>
    </w:p>
    <w:p>
      <w:r>
        <w:rPr>
          <w:rFonts w:ascii="宋体" w:hAnsi="宋体" w:eastAsia="宋体"/>
          <w:sz w:val="24"/>
        </w:rPr>
        <w:t>建设部标准定额司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工程建设标准强制性条文  房屋建筑部分  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建设部标准定额司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7800589102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建筑工程-标准-中国-中学参考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条例、规程、标准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本书内容包括：绪论、建筑设计、建筑防火、建筑设备、勘察和地基基础、结构设计、房屋建筑抗震设计、结构鉴定与加固、施工质量与安全等。</w:t>
      </w:r>
    </w:p>
    <w:p/>
    <w:p>
      <w:r>
        <w:t>本书出售、求购地址：https://www.jiaokey.com/book/detail/13547542.html</w:t>
      </w:r>
    </w:p>
    <w:p>
      <w:r>
        <w:t>更多条例、规程、标准图书推荐：https://www.jiaokey.com</w:t>
      </w:r>
    </w:p>
    <w:p>
      <w:r>
        <w:t>建设部标准定额司 其他作品：https://www.jiaokey.com/tag/建设部标准定额司.html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关键词搜索：https://www.jiaokey.com/tag/建筑工程-标准-中国-中学参考.html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