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从零开始读懂博弈论</w:t>
      </w:r>
    </w:p>
    <w:p>
      <w:r>
        <w:rPr>
          <w:rFonts w:ascii="宋体" w:hAnsi="宋体" w:eastAsia="宋体"/>
          <w:sz w:val="24"/>
        </w:rPr>
        <w:t>邢群麟，王艳明编著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从零开始读懂博弈论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邢群麟，王艳明编著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本书出售、求购地址：https://www.jiaokey.com/book/detail/13546758.html</w:t>
      </w:r>
    </w:p>
    <w:p>
      <w:r>
        <w:t>更多相关图书推荐：https://www.jiaokey.com</w:t>
      </w:r>
    </w:p>
    <w:p>
      <w:r>
        <w:t>邢群麟，王艳明编著 其他作品：https://www.jiaokey.com/tag/邢群麟，王艳明编著.html</w:t>
      </w:r>
    </w:p>
    <w:p>
      <w:r>
        <w:t>立信会计出版社 出版图书：https://www.jiaokey.com/tag/立信会计出版社.html</w:t>
      </w:r>
    </w:p>
    <w:p>
      <w:r>
        <w:t>关键词搜索：https://www.jiaokey.com/tag/从零开始读懂博弈论.html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