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乱世佳人5</w:t>
      </w:r>
    </w:p>
    <w:p>
      <w:r>
        <w:rPr>
          <w:rFonts w:ascii="宋体" w:hAnsi="宋体" w:eastAsia="宋体"/>
          <w:sz w:val="24"/>
        </w:rPr>
        <w:t>（美）米切尔原著；健平改编；李铁军；焦成根绘画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乱世佳人5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（美）米切尔原著；健平改编；李铁军；焦成根绘画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本书出售、求购地址：https://www.jiaokey.com/book/detail/13546476.html</w:t>
      </w:r>
    </w:p>
    <w:p>
      <w:r>
        <w:t>更多相关图书推荐：https://www.jiaokey.com</w:t>
      </w:r>
    </w:p>
    <w:p>
      <w:r>
        <w:t>（美）米切尔原著；健平改编；李铁军；焦成根绘画 其他作品：https://www.jiaokey.com/tag/（美）米切尔原著；健平改编；李铁军；焦成根绘画.html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乱世佳人5.html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