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控制钢筋混凝土结构构件裂缝措施</w:t>
      </w:r>
    </w:p>
    <w:p>
      <w:r>
        <w:rPr>
          <w:rFonts w:ascii="宋体" w:hAnsi="宋体" w:eastAsia="宋体"/>
          <w:sz w:val="24"/>
        </w:rPr>
        <w:t>云南省基本建设委员会编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控制钢筋混凝土结构构件裂缝措施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本书出售、求购地址：https://www.jiaokey.com/book/detail/13545899.html</w:t>
      </w:r>
    </w:p>
    <w:p>
      <w:r>
        <w:t>更多相关图书推荐：https://www.jiaokey.com</w:t>
      </w:r>
    </w:p>
    <w:p>
      <w:r>
        <w:t>云南省基本建设委员会编 其他作品：https://www.jiaokey.com/tag/云南省基本建设委员会编.html</w:t>
      </w:r>
    </w:p>
    <w:p>
      <w:r>
        <w:t>关键词搜索：https://www.jiaokey.com/tag/控制钢筋混凝土结构构件裂缝措施.html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