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教育研究方法导论</w:t>
      </w:r>
    </w:p>
    <w:p>
      <w:r>
        <w:rPr>
          <w:rFonts w:ascii="宋体" w:hAnsi="宋体" w:eastAsia="宋体"/>
          <w:sz w:val="24"/>
        </w:rPr>
        <w:t>（美）梅雷迪斯·M.，高尔，沃尔特·博格，乔伊斯·J.，高尔著；许庆豫等译；朱永新审校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（美）梅雷迪斯·M.，高尔，沃尔特·博格，乔伊斯·J.，高尔著；许庆豫等译；朱永新审校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本书出售、求购地址：https://www.jiaokey.com/book/detail/13543947.html</w:t>
      </w:r>
    </w:p>
    <w:p>
      <w:r>
        <w:t>更多相关图书推荐：https://www.jiaokey.com</w:t>
      </w:r>
    </w:p>
    <w:p>
      <w:r>
        <w:t>（美）梅雷迪斯·M.，高尔，沃尔特·博格，乔伊斯·J.，高尔著；许庆豫等译；朱永新审校 其他作品：https://www.jiaokey.com/tag/（美）梅雷迪斯·M.，高尔，沃尔特·博格，乔伊斯·J.，高尔著；许庆豫等译；朱永新审校.html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