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陈氏族谱  念五郞公与宇世系</w:t>
      </w:r>
    </w:p>
    <w:p>
      <w:r>
        <w:rPr>
          <w:rFonts w:ascii="宋体" w:hAnsi="宋体" w:eastAsia="宋体"/>
          <w:sz w:val="24"/>
        </w:rPr>
        <w:t>梅州市梅县瑶美，丰顺行马石，大埔黄竹居编委会编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陈氏族谱  念五郞公与宇世系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梅州市梅县瑶美，丰顺行马石，大埔黄竹居编委会编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本书出售、求购地址：https://www.jiaokey.com/book/detail/13542441.html</w:t>
      </w:r>
    </w:p>
    <w:p>
      <w:r>
        <w:t>更多相关图书推荐：https://www.jiaokey.com</w:t>
      </w:r>
    </w:p>
    <w:p>
      <w:r>
        <w:t>梅州市梅县瑶美，丰顺行马石，大埔黄竹居编委会编 其他作品：https://www.jiaokey.com/tag/梅州市梅县瑶美，丰顺行马石，大埔黄竹居编委会编.html</w:t>
      </w:r>
    </w:p>
    <w:p>
      <w:r>
        <w:t>关键词搜索：https://www.jiaokey.com/tag/陈氏族谱  念五郞公与宇世系.html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