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  2005程序设计实用教程</w:t>
      </w:r>
    </w:p>
    <w:p>
      <w:r>
        <w:rPr>
          <w:rFonts w:ascii="宋体" w:hAnsi="宋体" w:eastAsia="宋体"/>
          <w:sz w:val="24"/>
        </w:rPr>
        <w:t>董清潭主编；刘洋，张洪生，陶慧等副主编；李新国，童锡骏，罗宜志参编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  2005程序设计实用教程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董清潭主编；刘洋，张洪生，陶慧等副主编；李新国，童锡骏，罗宜志参编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本书出售、求购地址：https://www.jiaokey.com/book/detail/13539797.html</w:t>
      </w:r>
    </w:p>
    <w:p>
      <w:r>
        <w:t>更多相关图书推荐：https://www.jiaokey.com</w:t>
      </w:r>
    </w:p>
    <w:p>
      <w:r>
        <w:t>董清潭主编；刘洋，张洪生，陶慧等副主编；李新国，童锡骏，罗宜志参编 其他作品：https://www.jiaokey.com/tag/董清潭主编；刘洋，张洪生，陶慧等副主编；李新国，童锡骏，罗宜志参编.html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关键词搜索：https://www.jiaokey.com/tag/VB.NET  2005程序设计实用教程.html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