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2000版GB/T 19000族标准剖析及应用指南</w:t>
      </w:r>
    </w:p>
    <w:p>
      <w:r>
        <w:rPr>
          <w:rFonts w:ascii="宋体" w:hAnsi="宋体" w:eastAsia="宋体"/>
          <w:sz w:val="24"/>
        </w:rPr>
        <w:t>陈宝江，付瑞云，德淑敏编著；万举勇审定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2000版GB/T 19000族标准剖析及应用指南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陈宝江，付瑞云，德淑敏编著；万举勇审定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本书出售、求购地址：https://www.jiaokey.com/book/detail/13538979.html</w:t>
      </w:r>
    </w:p>
    <w:p>
      <w:r>
        <w:t>更多相关图书推荐：https://www.jiaokey.com</w:t>
      </w:r>
    </w:p>
    <w:p>
      <w:r>
        <w:t>陈宝江，付瑞云，德淑敏编著；万举勇审定 其他作品：https://www.jiaokey.com/tag/陈宝江，付瑞云，德淑敏编著；万举勇审定.html</w:t>
      </w:r>
    </w:p>
    <w:p>
      <w:r>
        <w:t>中国标准出版社 出版图书：https://www.jiaokey.com/tag/中国标准出版社.html</w:t>
      </w:r>
    </w:p>
    <w:p>
      <w:r>
        <w:t>关键词搜索：https://www.jiaokey.com/tag/2000版GB/T 19000族标准剖析及应用指南.html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