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  第2版</w:t>
      </w:r>
    </w:p>
    <w:p>
      <w:r>
        <w:rPr>
          <w:rFonts w:ascii="宋体" w:hAnsi="宋体" w:eastAsia="宋体"/>
          <w:sz w:val="24"/>
        </w:rPr>
        <w:t>叶琳，邱龙辉主编；张慧英，宋晓梅，高晓芳，程建文，李旭，骆华锋，陈东副主编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叶琳，邱龙辉主编；张慧英，宋晓梅，高晓芳，程建文，李旭，骆华锋，陈东副主编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本书出售、求购地址：https://www.jiaokey.com/book/detail/13535347.html</w:t>
      </w:r>
    </w:p>
    <w:p>
      <w:r>
        <w:t>更多相关图书推荐：https://www.jiaokey.com</w:t>
      </w:r>
    </w:p>
    <w:p>
      <w:r>
        <w:t>叶琳，邱龙辉主编；张慧英，宋晓梅，高晓芳，程建文，李旭，骆华锋，陈东副主编 其他作品：https://www.jiaokey.com/tag/叶琳，邱龙辉主编；张慧英，宋晓梅，高晓芳，程建文，李旭，骆华锋，陈东副主编.html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关键词搜索：https://www.jiaokey.com/tag/画法几何与机械制图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