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创造“传统”  晚清民初中国学术思想史典范的确立</w:t>
      </w:r>
    </w:p>
    <w:p>
      <w:r>
        <w:rPr>
          <w:rFonts w:ascii="宋体" w:hAnsi="宋体" w:eastAsia="宋体"/>
          <w:sz w:val="24"/>
        </w:rPr>
        <w:t>江湄著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创造“传统”  晚清民初中国学术思想史典范的确立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本书出售、求购地址：https://www.jiaokey.com/book/detail/13533198.html</w:t>
      </w:r>
    </w:p>
    <w:p>
      <w:r>
        <w:t>更多相关图书推荐：https://www.jiaokey.com</w:t>
      </w:r>
    </w:p>
    <w:p>
      <w:r>
        <w:t>江湄著 其他作品：https://www.jiaokey.com/tag/江湄著.html</w:t>
      </w:r>
    </w:p>
    <w:p>
      <w:r>
        <w:t>人间出版社 出版图书：https://www.jiaokey.com/tag/人间出版社.html</w:t>
      </w:r>
    </w:p>
    <w:p>
      <w:r>
        <w:t>关键词搜索：https://www.jiaokey.com/tag/创造“传统”  晚清民初中国学术思想史典范的确立.html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