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类风湿关节炎与强直性脊柱炎合理用药300问  第2版</w:t>
      </w:r>
    </w:p>
    <w:p>
      <w:r>
        <w:rPr>
          <w:rFonts w:ascii="宋体" w:hAnsi="宋体" w:eastAsia="宋体"/>
          <w:sz w:val="24"/>
        </w:rPr>
        <w:t>阎小萍主编；张淑芳总主编；卫生部合理用药专家委员会组织编写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类风湿关节炎与强直性脊柱炎合理用药300问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阎小萍主编；张淑芳总主编；卫生部合理用药专家委员会组织编写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本书出售、求购地址：https://www.jiaokey.com/book/detail/13532920.html</w:t>
      </w:r>
    </w:p>
    <w:p>
      <w:r>
        <w:t>更多相关图书推荐：https://www.jiaokey.com</w:t>
      </w:r>
    </w:p>
    <w:p>
      <w:r>
        <w:t>阎小萍主编；张淑芳总主编；卫生部合理用药专家委员会组织编写 其他作品：https://www.jiaokey.com/tag/阎小萍主编；张淑芳总主编；卫生部合理用药专家委员会组织编写.html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关键词搜索：https://www.jiaokey.com/tag/类风湿关节炎与强直性脊柱炎合理用药300问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