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现代陶艺设计教程</w:t>
      </w:r>
    </w:p>
    <w:p>
      <w:r>
        <w:rPr>
          <w:rFonts w:ascii="宋体" w:hAnsi="宋体" w:eastAsia="宋体"/>
          <w:sz w:val="24"/>
        </w:rPr>
        <w:t>彭玮，尤太权，周松竹主编；初月明，陈春贵，商亚敏，杨锦雁副主编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现代陶艺设计教程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彭玮，尤太权，周松竹主编；初月明，陈春贵，商亚敏，杨锦雁副主编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本书出售、求购地址：https://www.jiaokey.com/book/detail/13532768.html</w:t>
      </w:r>
    </w:p>
    <w:p>
      <w:r>
        <w:t>更多相关图书推荐：https://www.jiaokey.com</w:t>
      </w:r>
    </w:p>
    <w:p>
      <w:r>
        <w:t>彭玮，尤太权，周松竹主编；初月明，陈春贵，商亚敏，杨锦雁副主编 其他作品：https://www.jiaokey.com/tag/彭玮，尤太权，周松竹主编；初月明，陈春贵，商亚敏，杨锦雁副主编.html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关键词搜索：https://www.jiaokey.com/tag/现代陶艺设计教程.html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