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听力理  第2版</w:t>
      </w:r>
    </w:p>
    <w:p>
      <w:r>
        <w:rPr>
          <w:rFonts w:ascii="宋体" w:hAnsi="宋体" w:eastAsia="宋体"/>
          <w:sz w:val="24"/>
        </w:rPr>
        <w:t>陈春华主编；吴南松，金兵副主编；吴南松，金兵，李志雪，李燕敏，蔡虹编；邹申总主编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陈春华主编；吴南松，金兵副主编；吴南松，金兵，李志雪，李燕敏，蔡虹编；邹申总主编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本书出售、求购地址：https://www.jiaokey.com/book/detail/13526962.html</w:t>
      </w:r>
    </w:p>
    <w:p>
      <w:r>
        <w:t>更多相关图书推荐：https://www.jiaokey.com</w:t>
      </w:r>
    </w:p>
    <w:p>
      <w:r>
        <w:t>陈春华主编；吴南松，金兵副主编；吴南松，金兵，李志雪，李燕敏，蔡虹编；邹申总主编 其他作品：https://www.jiaokey.com/tag/陈春华主编；吴南松，金兵副主编；吴南松，金兵，李志雪，李燕敏，蔡虹编；邹申总主编.html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关键词搜索：https://www.jiaokey.com/tag/听力理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