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晨露</w:t>
      </w:r>
    </w:p>
    <w:p>
      <w:r>
        <w:rPr>
          <w:rFonts w:ascii="宋体" w:hAnsi="宋体" w:eastAsia="宋体"/>
          <w:sz w:val="24"/>
        </w:rPr>
        <w:t>热孜玩古力·于苏普著；阿曼古力·努尔等译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热孜玩古力·于苏普著；阿曼古力·努尔等译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本书出售、求购地址：https://www.jiaokey.com/book/detail/13526338.html</w:t>
      </w:r>
    </w:p>
    <w:p>
      <w:r>
        <w:t>更多相关图书推荐：https://www.jiaokey.com</w:t>
      </w:r>
    </w:p>
    <w:p>
      <w:r>
        <w:t>热孜玩古力·于苏普著；阿曼古力·努尔等译 其他作品：https://www.jiaokey.com/tag/热孜玩古力·于苏普著；阿曼古力·努尔等译.html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关键词搜索：https://www.jiaokey.com/tag/晨露.html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