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书名：非诉低成本权利救济机制构建实证研究  以宜昌市法务网格工程等为例</w:t>
      </w:r>
    </w:p>
    <w:p>
      <w:r>
        <w:t>作者：骆东平，邓海娟，张德才，杨全友著</w:t>
      </w:r>
    </w:p>
    <w:p>
      <w:r>
        <w:t>出版社：厦门：厦门大学出版社</w:t>
      </w:r>
    </w:p>
    <w:p>
      <w:r>
        <w:t>出版日期：2014.03</w:t>
      </w:r>
    </w:p>
    <w:p>
      <w:r>
        <w:t>总页数：233</w:t>
      </w:r>
    </w:p>
    <w:p>
      <w:r>
        <w:t>更多请访问教客网: www.jiaokey.com</w:t>
      </w:r>
    </w:p>
    <w:p>
      <w:r>
        <w:t>非诉低成本权利救济机制构建实证研究  以宜昌市法务网格工程等为例 评论地址：https://www.jiaokey.com/book/detail/13525818.html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