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游荡者，城市与现代性  理解本雅明</w:t>
      </w:r>
    </w:p>
    <w:p>
      <w:r>
        <w:rPr>
          <w:rFonts w:ascii="宋体" w:hAnsi="宋体" w:eastAsia="宋体"/>
          <w:sz w:val="24"/>
        </w:rPr>
        <w:t>上官燕著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游荡者，城市与现代性  理解本雅明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本书出售、求购地址：https://www.jiaokey.com/book/detail/13525139.html</w:t>
      </w:r>
    </w:p>
    <w:p>
      <w:r>
        <w:t>更多相关图书推荐：https://www.jiaokey.com</w:t>
      </w:r>
    </w:p>
    <w:p>
      <w:r>
        <w:t>上官燕著 其他作品：https://www.jiaokey.com/tag/上官燕著.html</w:t>
      </w:r>
    </w:p>
    <w:p>
      <w:r>
        <w:t>关键词搜索：https://www.jiaokey.com/tag/游荡者，城市与现代性  理解本雅明.html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