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思想道德修养与法律基础实践教程</w:t>
      </w:r>
    </w:p>
    <w:p>
      <w:r>
        <w:rPr>
          <w:rFonts w:ascii="宋体" w:hAnsi="宋体" w:eastAsia="宋体"/>
          <w:sz w:val="24"/>
        </w:rPr>
        <w:t>高校教材编委会组编；杨晓春，钟卫东主编；田祖清，任静，杨斌副主编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高校教材编委会组编；杨晓春，钟卫东主编；田祖清，任静，杨斌副主编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本书出售、求购地址：https://www.jiaokey.com/book/detail/13524879.html</w:t>
      </w:r>
    </w:p>
    <w:p>
      <w:r>
        <w:t>更多相关图书推荐：https://www.jiaokey.com</w:t>
      </w:r>
    </w:p>
    <w:p>
      <w:r>
        <w:t>高校教材编委会组编；杨晓春，钟卫东主编；田祖清，任静，杨斌副主编 其他作品：https://www.jiaokey.com/tag/高校教材编委会组编；杨晓春，钟卫东主编；田祖清，任静，杨斌副主编.html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关键词搜索：https://www.jiaokey.com/tag/思想道德修养与法律基础实践教程.html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