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乱世佳人</w:t>
      </w:r>
    </w:p>
    <w:p>
      <w:r>
        <w:rPr>
          <w:rFonts w:ascii="宋体" w:hAnsi="宋体" w:eastAsia="宋体"/>
          <w:sz w:val="24"/>
        </w:rPr>
        <w:t>维多佛莱明导演；薛尼霍华编剧；玛格丽特米契儿原著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维多佛莱明导演；薛尼霍华编剧；玛格丽特米契儿原著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本书出售、求购地址：https://www.jiaokey.com/book/detail/13524628.html</w:t>
      </w:r>
    </w:p>
    <w:p>
      <w:r>
        <w:t>更多相关图书推荐：https://www.jiaokey.com</w:t>
      </w:r>
    </w:p>
    <w:p>
      <w:r>
        <w:t>维多佛莱明导演；薛尼霍华编剧；玛格丽特米契儿原著 其他作品：https://www.jiaokey.com/tag/维多佛莱明导演；薛尼霍华编剧；玛格丽特米契儿原著.html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关键词搜索：https://www.jiaokey.com/tag/乱世佳人.html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