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理论动态  438  第13辑  科学社会主义新胜利的指南——读《邓小平文选》</w:t>
      </w:r>
    </w:p>
    <w:p>
      <w:r>
        <w:rPr>
          <w:rFonts w:ascii="宋体" w:hAnsi="宋体" w:eastAsia="宋体"/>
          <w:sz w:val="24"/>
        </w:rPr>
        <w:t>江流著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理论动态  438  第13辑  科学社会主义新胜利的指南——读《邓小平文选》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本书出售、求购地址：https://www.jiaokey.com/book/detail/13524527.html</w:t>
      </w:r>
    </w:p>
    <w:p>
      <w:r>
        <w:t>更多相关图书推荐：https://www.jiaokey.com</w:t>
      </w:r>
    </w:p>
    <w:p>
      <w:r>
        <w:t>江流著 其他作品：https://www.jiaokey.com/tag/江流著.html</w:t>
      </w:r>
    </w:p>
    <w:p>
      <w:r>
        <w:t>关键词搜索：https://www.jiaokey.com/tag/理论动态  438  第13辑  科学社会主义新胜利的指南——读《邓小平文选》.html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