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液压气压传动与控制</w:t>
      </w:r>
    </w:p>
    <w:p>
      <w:r>
        <w:rPr>
          <w:rFonts w:ascii="宋体" w:hAnsi="宋体" w:eastAsia="宋体"/>
          <w:sz w:val="24"/>
        </w:rPr>
        <w:t>魏宏玲主编；吴雄喜，徐生副主编；刘瑛，陈苏秧，胡美君参编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液压气压传动与控制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魏宏玲主编；吴雄喜，徐生副主编；刘瑛，陈苏秧，胡美君参编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本书出售、求购地址：https://www.jiaokey.com/book/detail/13523300.html</w:t>
      </w:r>
    </w:p>
    <w:p>
      <w:r>
        <w:t>更多相关图书推荐：https://www.jiaokey.com</w:t>
      </w:r>
    </w:p>
    <w:p>
      <w:r>
        <w:t>魏宏玲主编；吴雄喜，徐生副主编；刘瑛，陈苏秧，胡美君参编 其他作品：https://www.jiaokey.com/tag/魏宏玲主编；吴雄喜，徐生副主编；刘瑛，陈苏秧，胡美君参编.html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关键词搜索：https://www.jiaokey.com/tag/液压气压传动与控制.html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