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房地产纠纷裁判思路与规范指引（下）</w:t>
      </w:r>
    </w:p>
    <w:p>
      <w:r>
        <w:rPr>
          <w:rFonts w:ascii="宋体" w:hAnsi="宋体" w:eastAsia="宋体"/>
          <w:sz w:val="24"/>
        </w:rPr>
        <w:t>奚晓明，韩延斌，王林清著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房地产纠纷裁判思路与规范指引（下）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奚晓明，韩延斌，王林清著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本书出售、求购地址：https://www.jiaokey.com/book/detail/13522443.html</w:t>
      </w:r>
    </w:p>
    <w:p>
      <w:r>
        <w:t>更多相关图书推荐：https://www.jiaokey.com</w:t>
      </w:r>
    </w:p>
    <w:p>
      <w:r>
        <w:t>奚晓明，韩延斌，王林清著 其他作品：https://www.jiaokey.com/tag/奚晓明，韩延斌，王林清著.html</w:t>
      </w:r>
    </w:p>
    <w:p>
      <w:r>
        <w:t>人民法院出版社 出版图书：https://www.jiaokey.com/tag/人民法院出版社.html</w:t>
      </w:r>
    </w:p>
    <w:p>
      <w:r>
        <w:t>关键词搜索：https://www.jiaokey.com/tag/房地产纠纷裁判思路与规范指引（下）.html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