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空头之王</w:t>
      </w:r>
    </w:p>
    <w:p>
      <w:r>
        <w:rPr>
          <w:rFonts w:ascii="宋体" w:hAnsi="宋体" w:eastAsia="宋体"/>
          <w:sz w:val="24"/>
        </w:rPr>
        <w:t>（美）大卫·艾因霍恩著；张伟，吴溪，韦鲁鹏译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空头之王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（美）大卫·艾因霍恩著；张伟，吴溪，韦鲁鹏译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本书出售、求购地址：https://www.jiaokey.com/book/detail/13522410.html</w:t>
      </w:r>
    </w:p>
    <w:p>
      <w:r>
        <w:t>更多相关图书推荐：https://www.jiaokey.com</w:t>
      </w:r>
    </w:p>
    <w:p>
      <w:r>
        <w:t>（美）大卫·艾因霍恩著；张伟，吴溪，韦鲁鹏译 其他作品：https://www.jiaokey.com/tag/（美）大卫·艾因霍恩著；张伟，吴溪，韦鲁鹏译.html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关键词搜索：https://www.jiaokey.com/tag/空头之王.html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