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单位的前世今生  中国城市的社会空间与治理</w:t>
      </w:r>
    </w:p>
    <w:p>
      <w:r>
        <w:rPr>
          <w:rFonts w:ascii="宋体" w:hAnsi="宋体" w:eastAsia="宋体"/>
          <w:sz w:val="24"/>
        </w:rPr>
        <w:t>（澳）薄大伟/DAVIDBRAY著；柴彦威，张纯，何宏光，张艳译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单位的前世今生  中国城市的社会空间与治理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（澳）薄大伟/DAVIDBRAY著；柴彦威，张纯，何宏光，张艳译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本书出售、求购地址：https://www.jiaokey.com/book/detail/13518888.html</w:t>
      </w:r>
    </w:p>
    <w:p>
      <w:r>
        <w:t>更多相关图书推荐：https://www.jiaokey.com</w:t>
      </w:r>
    </w:p>
    <w:p>
      <w:r>
        <w:t>（澳）薄大伟/DAVIDBRAY著；柴彦威，张纯，何宏光，张艳译 其他作品：https://www.jiaokey.com/tag/（澳）薄大伟/DAVIDBRAY著；柴彦威，张纯，何宏光，张艳译.html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关键词搜索：https://www.jiaokey.com/tag/单位的前世今生  中国城市的社会空间与治理.html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