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第2版</w:t>
      </w:r>
    </w:p>
    <w:p>
      <w:r>
        <w:rPr>
          <w:rFonts w:ascii="宋体" w:hAnsi="宋体" w:eastAsia="宋体"/>
          <w:sz w:val="24"/>
        </w:rPr>
        <w:t>熊仲明，许淑芳，韦俊编著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熊仲明，许淑芳，韦俊编著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本书出售、求购地址：https://www.jiaokey.com/book/detail/13510087.html</w:t>
      </w:r>
    </w:p>
    <w:p>
      <w:r>
        <w:t>更多相关图书推荐：https://www.jiaokey.com</w:t>
      </w:r>
    </w:p>
    <w:p>
      <w:r>
        <w:t>熊仲明，许淑芳，韦俊编著 其他作品：https://www.jiaokey.com/tag/熊仲明，许淑芳，韦俊编著.html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