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SKetchUP建筑室内外表现高级教程</w:t>
      </w:r>
    </w:p>
    <w:p>
      <w:r>
        <w:rPr>
          <w:rFonts w:ascii="宋体" w:hAnsi="宋体" w:eastAsia="宋体"/>
          <w:sz w:val="24"/>
        </w:rPr>
        <w:t>陈国俊主编；姜明，唐飞副主编；梁世伟，邓贵艳，杨彦参编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SKetchUP建筑室内外表现高级教程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陈国俊主编；姜明，唐飞副主编；梁世伟，邓贵艳，杨彦参编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本书出售、求购地址：https://www.jiaokey.com/book/detail/13508134.html</w:t>
      </w:r>
    </w:p>
    <w:p>
      <w:r>
        <w:t>更多相关图书推荐：https://www.jiaokey.com</w:t>
      </w:r>
    </w:p>
    <w:p>
      <w:r>
        <w:t>陈国俊主编；姜明，唐飞副主编；梁世伟，邓贵艳，杨彦参编 其他作品：https://www.jiaokey.com/tag/陈国俊主编；姜明，唐飞副主编；梁世伟，邓贵艳，杨彦参编.html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关键词搜索：https://www.jiaokey.com/tag/SKetchUP建筑室内外表现高级教程.html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