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基础篇</w:t>
      </w:r>
    </w:p>
    <w:p>
      <w:r>
        <w:rPr>
          <w:rFonts w:ascii="宋体" w:hAnsi="宋体" w:eastAsia="宋体"/>
          <w:sz w:val="24"/>
        </w:rPr>
        <w:t>辛旭平主编；周芹副主编；张甫宽，聂宜珍，朱世坤，王相奇参编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辛旭平主编；周芹副主编；张甫宽，聂宜珍，朱世坤，王相奇参编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本书出售、求购地址：https://www.jiaokey.com/book/detail/13508067.html</w:t>
      </w:r>
    </w:p>
    <w:p>
      <w:r>
        <w:t>更多相关图书推荐：https://www.jiaokey.com</w:t>
      </w:r>
    </w:p>
    <w:p>
      <w:r>
        <w:t>辛旭平主编；周芹副主编；张甫宽，聂宜珍，朱世坤，王相奇参编 其他作品：https://www.jiaokey.com/tag/辛旭平主编；周芹副主编；张甫宽，聂宜珍，朱世坤，王相奇参编.html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