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</w:t>
      </w:r>
    </w:p>
    <w:p>
      <w:r>
        <w:rPr>
          <w:rFonts w:ascii="宋体" w:hAnsi="宋体" w:eastAsia="宋体"/>
          <w:sz w:val="24"/>
        </w:rPr>
        <w:t>杨永利主编；骆欣，薛念涛，朱鸿梅，晁春艳副主编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杨永利主编；骆欣，薛念涛，朱鸿梅，晁春艳副主编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本书出售、求购地址：https://www.jiaokey.com/book/detail/13508050.html</w:t>
      </w:r>
    </w:p>
    <w:p>
      <w:r>
        <w:t>更多相关图书推荐：https://www.jiaokey.com</w:t>
      </w:r>
    </w:p>
    <w:p>
      <w:r>
        <w:t>杨永利主编；骆欣，薛念涛，朱鸿梅，晁春艳副主编 其他作品：https://www.jiaokey.com/tag/杨永利主编；骆欣，薛念涛，朱鸿梅，晁春艳副主编.html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关键词搜索：https://www.jiaokey.com/tag/环境影响评价案例分析.html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